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0EB123B0" w:rsidR="00960B44" w:rsidRPr="00DC392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rPr>
      </w:pPr>
      <w:r w:rsidRPr="00DC3921">
        <w:rPr>
          <w:rFonts w:ascii="Times New Roman" w:eastAsia="SimSun" w:hAnsi="Times New Roman" w:cs="Times New Roman"/>
          <w:b/>
          <w:noProof/>
          <w:sz w:val="24"/>
          <w:szCs w:val="20"/>
          <w:lang w:val="de-DE" w:eastAsia="zh-CN"/>
        </w:rPr>
        <w:t>3GPP TSG-RA</w:t>
      </w:r>
      <w:r w:rsidR="00E73984" w:rsidRPr="00DC3921">
        <w:rPr>
          <w:rFonts w:ascii="Times New Roman" w:eastAsia="SimSun" w:hAnsi="Times New Roman" w:cs="Times New Roman"/>
          <w:b/>
          <w:noProof/>
          <w:sz w:val="24"/>
          <w:szCs w:val="20"/>
          <w:lang w:val="de-DE" w:eastAsia="zh-CN"/>
        </w:rPr>
        <w:t>N</w:t>
      </w:r>
      <w:r w:rsidR="00EC7CC3" w:rsidRPr="00DC3921">
        <w:rPr>
          <w:rFonts w:ascii="Times New Roman" w:eastAsia="SimSun" w:hAnsi="Times New Roman" w:cs="Times New Roman"/>
          <w:b/>
          <w:noProof/>
          <w:sz w:val="24"/>
          <w:szCs w:val="20"/>
          <w:lang w:val="de-DE" w:eastAsia="zh-CN"/>
        </w:rPr>
        <w:t>2</w:t>
      </w:r>
      <w:r w:rsidR="00E73984" w:rsidRPr="00DC3921">
        <w:rPr>
          <w:rFonts w:ascii="Times New Roman" w:eastAsia="SimSun" w:hAnsi="Times New Roman" w:cs="Times New Roman"/>
          <w:b/>
          <w:noProof/>
          <w:sz w:val="24"/>
          <w:szCs w:val="20"/>
          <w:lang w:val="de-DE" w:eastAsia="zh-CN"/>
        </w:rPr>
        <w:t>#11</w:t>
      </w:r>
      <w:r w:rsidR="001F657F" w:rsidRPr="00DC3921">
        <w:rPr>
          <w:rFonts w:ascii="Times New Roman" w:eastAsia="SimSun" w:hAnsi="Times New Roman" w:cs="Times New Roman"/>
          <w:b/>
          <w:noProof/>
          <w:sz w:val="24"/>
          <w:szCs w:val="20"/>
          <w:lang w:val="de-DE" w:eastAsia="zh-CN"/>
        </w:rPr>
        <w:t>9</w:t>
      </w:r>
      <w:r w:rsidR="00DC3921" w:rsidRPr="00DC3921">
        <w:rPr>
          <w:rFonts w:ascii="Times New Roman" w:eastAsia="SimSun" w:hAnsi="Times New Roman" w:cs="Times New Roman"/>
          <w:b/>
          <w:noProof/>
          <w:sz w:val="24"/>
          <w:szCs w:val="20"/>
          <w:lang w:val="de-DE" w:eastAsia="zh-CN"/>
        </w:rPr>
        <w:t>bis-</w:t>
      </w:r>
      <w:r w:rsidR="00E73984" w:rsidRPr="00DC3921">
        <w:rPr>
          <w:rFonts w:ascii="Times New Roman" w:eastAsia="SimSun" w:hAnsi="Times New Roman" w:cs="Times New Roman"/>
          <w:b/>
          <w:noProof/>
          <w:sz w:val="24"/>
          <w:szCs w:val="20"/>
          <w:lang w:val="de-DE" w:eastAsia="zh-CN"/>
        </w:rPr>
        <w:t>e</w:t>
      </w:r>
      <w:r w:rsidRPr="00DC3921">
        <w:rPr>
          <w:rFonts w:ascii="Times New Roman" w:eastAsia="SimSun" w:hAnsi="Times New Roman" w:cs="Times New Roman"/>
          <w:b/>
          <w:noProof/>
          <w:sz w:val="24"/>
          <w:szCs w:val="20"/>
          <w:lang w:val="de-DE" w:eastAsia="zh-CN"/>
        </w:rPr>
        <w:tab/>
      </w:r>
      <w:r w:rsidR="00A948BC" w:rsidRPr="00DC3921">
        <w:rPr>
          <w:rFonts w:ascii="Times New Roman" w:eastAsia="SimSun" w:hAnsi="Times New Roman" w:cs="Times New Roman"/>
          <w:b/>
          <w:noProof/>
          <w:sz w:val="24"/>
          <w:szCs w:val="20"/>
          <w:lang w:val="de-DE" w:eastAsia="zh-CN"/>
        </w:rPr>
        <w:t>R2-22</w:t>
      </w:r>
      <w:r w:rsidR="00EB0B5D">
        <w:rPr>
          <w:rFonts w:ascii="Times New Roman" w:eastAsia="SimSun" w:hAnsi="Times New Roman" w:cs="Times New Roman"/>
          <w:b/>
          <w:noProof/>
          <w:sz w:val="24"/>
          <w:szCs w:val="20"/>
          <w:lang w:val="de-DE" w:eastAsia="zh-CN"/>
        </w:rPr>
        <w:t>1</w:t>
      </w:r>
      <w:r w:rsidR="00A948BC" w:rsidRPr="00DC3921">
        <w:rPr>
          <w:rFonts w:ascii="Times New Roman" w:eastAsia="SimSun" w:hAnsi="Times New Roman" w:cs="Times New Roman"/>
          <w:b/>
          <w:noProof/>
          <w:sz w:val="24"/>
          <w:szCs w:val="20"/>
          <w:lang w:val="de-DE" w:eastAsia="zh-CN"/>
        </w:rPr>
        <w:t>0</w:t>
      </w:r>
      <w:r w:rsidR="00EB0B5D">
        <w:rPr>
          <w:rFonts w:ascii="Times New Roman" w:eastAsia="SimSun" w:hAnsi="Times New Roman" w:cs="Times New Roman"/>
          <w:b/>
          <w:noProof/>
          <w:sz w:val="24"/>
          <w:szCs w:val="20"/>
          <w:lang w:val="de-DE" w:eastAsia="zh-CN"/>
        </w:rPr>
        <w:t>206</w:t>
      </w:r>
    </w:p>
    <w:p w14:paraId="6D7FEBCE" w14:textId="2DA2B5B7"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022BC">
        <w:rPr>
          <w:rFonts w:ascii="Times New Roman" w:eastAsia="SimSun" w:hAnsi="Times New Roman" w:cs="Times New Roman"/>
          <w:b/>
          <w:noProof/>
          <w:sz w:val="24"/>
          <w:szCs w:val="20"/>
          <w:lang w:eastAsia="zh-CN"/>
        </w:rPr>
        <w:t xml:space="preserve">Online, </w:t>
      </w:r>
      <w:r w:rsidR="00DC3921">
        <w:rPr>
          <w:rFonts w:ascii="Times New Roman" w:eastAsia="SimSun" w:hAnsi="Times New Roman" w:cs="Times New Roman"/>
          <w:b/>
          <w:bCs/>
          <w:noProof/>
          <w:sz w:val="24"/>
          <w:szCs w:val="20"/>
        </w:rPr>
        <w:t xml:space="preserve">October </w:t>
      </w:r>
      <w:r w:rsidRPr="007022BC">
        <w:rPr>
          <w:rFonts w:ascii="Times New Roman" w:eastAsia="SimSun" w:hAnsi="Times New Roman" w:cs="Times New Roman"/>
          <w:b/>
          <w:bCs/>
          <w:noProof/>
          <w:sz w:val="24"/>
          <w:szCs w:val="20"/>
        </w:rPr>
        <w:t>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623EF6A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924CE4">
        <w:rPr>
          <w:rFonts w:ascii="Times New Roman" w:eastAsia="SimSun" w:hAnsi="Times New Roman" w:cs="Times New Roman"/>
          <w:b/>
          <w:bCs/>
          <w:kern w:val="2"/>
          <w:sz w:val="24"/>
          <w:lang w:eastAsia="zh-CN"/>
        </w:rPr>
        <w:t>6.</w:t>
      </w:r>
      <w:r w:rsidR="009F6F3F">
        <w:rPr>
          <w:rFonts w:ascii="Times New Roman" w:eastAsia="SimSun" w:hAnsi="Times New Roman" w:cs="Times New Roman"/>
          <w:b/>
          <w:bCs/>
          <w:kern w:val="2"/>
          <w:sz w:val="24"/>
          <w:lang w:eastAsia="zh-CN"/>
        </w:rPr>
        <w:t>8</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396E89BB"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CC6485" w:rsidRPr="00CC6485">
        <w:rPr>
          <w:rFonts w:ascii="Times New Roman" w:eastAsia="SimSun" w:hAnsi="Times New Roman" w:cs="Times New Roman"/>
          <w:b/>
          <w:bCs/>
          <w:kern w:val="2"/>
          <w:sz w:val="24"/>
          <w:lang w:eastAsia="zh-CN"/>
        </w:rPr>
        <w:t>Discussion on LS on RAN dependency of FS_eNS_Ph3</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C771E9" w14:textId="72CEA9C1" w:rsidR="00DA6BD7" w:rsidRPr="0013580E" w:rsidRDefault="00455538"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bookmarkStart w:id="2" w:name="Proposal_Beacon"/>
      <w:r>
        <w:rPr>
          <w:rFonts w:ascii="Garamond" w:eastAsia="MS Mincho" w:hAnsi="Garamond" w:cs="Times New Roman"/>
          <w:bCs/>
          <w:sz w:val="20"/>
          <w:szCs w:val="20"/>
          <w:lang w:val="en-GB"/>
        </w:rPr>
        <w:t xml:space="preserve">RAN2 received an LS from SA2 in </w:t>
      </w:r>
      <w:r w:rsidRPr="00455538">
        <w:rPr>
          <w:rFonts w:ascii="Garamond" w:eastAsia="MS Mincho" w:hAnsi="Garamond" w:cs="Times New Roman"/>
          <w:bCs/>
          <w:sz w:val="20"/>
          <w:szCs w:val="20"/>
          <w:lang w:val="en-GB"/>
        </w:rPr>
        <w:t>R2-2209355_S2-2207435</w:t>
      </w:r>
      <w:r>
        <w:rPr>
          <w:rFonts w:ascii="Garamond" w:eastAsia="MS Mincho" w:hAnsi="Garamond" w:cs="Times New Roman"/>
          <w:bCs/>
          <w:sz w:val="20"/>
          <w:szCs w:val="20"/>
          <w:lang w:val="en-GB"/>
        </w:rPr>
        <w:t>. This document proposes a RAN2 response. A formal draft reply LS is also available in [</w:t>
      </w:r>
      <w:r w:rsidRPr="0069176D">
        <w:rPr>
          <w:rFonts w:ascii="Garamond" w:eastAsia="MS Mincho" w:hAnsi="Garamond" w:cs="Times New Roman"/>
          <w:bCs/>
          <w:sz w:val="20"/>
          <w:szCs w:val="20"/>
          <w:lang w:val="en-GB"/>
        </w:rPr>
        <w:t>R2-</w:t>
      </w:r>
      <w:r w:rsidR="003C3D22" w:rsidRPr="0069176D">
        <w:rPr>
          <w:rFonts w:ascii="Garamond" w:eastAsia="MS Mincho" w:hAnsi="Garamond" w:cs="Times New Roman"/>
          <w:bCs/>
          <w:sz w:val="20"/>
          <w:szCs w:val="20"/>
          <w:lang w:val="en-GB"/>
        </w:rPr>
        <w:t xml:space="preserve"> </w:t>
      </w:r>
      <w:r w:rsidR="003C3D22" w:rsidRPr="0069176D">
        <w:rPr>
          <w:rFonts w:ascii="Garamond" w:eastAsia="MS Mincho" w:hAnsi="Garamond" w:cs="Times New Roman"/>
          <w:bCs/>
          <w:sz w:val="20"/>
          <w:szCs w:val="20"/>
          <w:lang w:val="en-GB"/>
        </w:rPr>
        <w:t>2210229</w:t>
      </w:r>
      <w:r>
        <w:rPr>
          <w:rFonts w:ascii="Garamond" w:eastAsia="MS Mincho" w:hAnsi="Garamond" w:cs="Times New Roman"/>
          <w:bCs/>
          <w:sz w:val="20"/>
          <w:szCs w:val="20"/>
          <w:lang w:val="en-GB"/>
        </w:rPr>
        <w:t>].</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Discussion</w:t>
      </w:r>
    </w:p>
    <w:bookmarkEnd w:id="2"/>
    <w:p w14:paraId="6983CE3D" w14:textId="0DE78BF8" w:rsidR="00DB7631" w:rsidRDefault="00DB7631"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p>
    <w:p w14:paraId="06F16EA2" w14:textId="20500C30" w:rsidR="00783889" w:rsidRDefault="00783889"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r>
        <w:rPr>
          <w:rFonts w:ascii="Garamond" w:eastAsia="MS Mincho" w:hAnsi="Garamond" w:cs="Times New Roman"/>
          <w:sz w:val="20"/>
          <w:szCs w:val="20"/>
        </w:rPr>
        <w:t>Here’s the main content from the LS:</w:t>
      </w:r>
    </w:p>
    <w:p w14:paraId="3C129E1F" w14:textId="77777777" w:rsidR="00E57908"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E57908">
        <w:rPr>
          <w:rFonts w:ascii="Times New Roman" w:hAnsi="Times New Roman" w:cs="Times New Roman"/>
          <w:i/>
          <w:iCs/>
          <w:sz w:val="20"/>
          <w:szCs w:val="20"/>
        </w:rPr>
        <w:t>For Key Issue #3:  Network Slice Area of Service for services not mapping to existing TAs boundaries, and Temporary network slices, SA2 has following questions:</w:t>
      </w:r>
    </w:p>
    <w:p w14:paraId="3148E879" w14:textId="77777777" w:rsidR="00E57908"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E57908">
        <w:rPr>
          <w:rFonts w:ascii="Times New Roman" w:hAnsi="Times New Roman" w:cs="Times New Roman"/>
          <w:i/>
          <w:iCs/>
          <w:sz w:val="20"/>
          <w:szCs w:val="20"/>
        </w:rPr>
        <w:t>1.</w:t>
      </w:r>
      <w:r w:rsidRPr="00E57908">
        <w:rPr>
          <w:rFonts w:ascii="Times New Roman" w:hAnsi="Times New Roman" w:cs="Times New Roman"/>
          <w:i/>
          <w:iCs/>
          <w:sz w:val="20"/>
          <w:szCs w:val="20"/>
        </w:rPr>
        <w:tab/>
        <w:t xml:space="preserve">Whether NG-RAN can broadcast one or more Secondary TAIs (up to a number RAN2 agrees, we note that for NTN is already possible to broadcast TWO TACs) via an updated SIB or new </w:t>
      </w:r>
      <w:proofErr w:type="gramStart"/>
      <w:r w:rsidRPr="00E57908">
        <w:rPr>
          <w:rFonts w:ascii="Times New Roman" w:hAnsi="Times New Roman" w:cs="Times New Roman"/>
          <w:i/>
          <w:iCs/>
          <w:sz w:val="20"/>
          <w:szCs w:val="20"/>
        </w:rPr>
        <w:t>SIB, and</w:t>
      </w:r>
      <w:proofErr w:type="gramEnd"/>
      <w:r w:rsidRPr="00E57908">
        <w:rPr>
          <w:rFonts w:ascii="Times New Roman" w:hAnsi="Times New Roman" w:cs="Times New Roman"/>
          <w:i/>
          <w:iCs/>
          <w:sz w:val="20"/>
          <w:szCs w:val="20"/>
        </w:rPr>
        <w:t xml:space="preserve">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550B424C" w14:textId="77777777" w:rsidR="00E57908"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p>
    <w:p w14:paraId="2BFB3D5F" w14:textId="77777777" w:rsidR="00E57908"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E57908">
        <w:rPr>
          <w:rFonts w:ascii="Times New Roman" w:hAnsi="Times New Roman" w:cs="Times New Roman"/>
          <w:i/>
          <w:iCs/>
          <w:sz w:val="20"/>
          <w:szCs w:val="20"/>
        </w:rPr>
        <w:t>2.</w:t>
      </w:r>
      <w:r w:rsidRPr="00E57908">
        <w:rPr>
          <w:rFonts w:ascii="Times New Roman" w:hAnsi="Times New Roman" w:cs="Times New Roman"/>
          <w:i/>
          <w:iCs/>
          <w:sz w:val="20"/>
          <w:szCs w:val="20"/>
        </w:rPr>
        <w:tab/>
        <w:t>Whether the NG-RAN can be configured with a slice availability on a per-cell basis and</w:t>
      </w:r>
    </w:p>
    <w:p w14:paraId="606E1E3B" w14:textId="77777777" w:rsidR="00E57908"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E57908">
        <w:rPr>
          <w:rFonts w:ascii="Times New Roman" w:hAnsi="Times New Roman" w:cs="Times New Roman"/>
          <w:i/>
          <w:iCs/>
          <w:sz w:val="20"/>
          <w:szCs w:val="20"/>
        </w:rPr>
        <w:t>a)</w:t>
      </w:r>
      <w:r w:rsidRPr="00E57908">
        <w:rPr>
          <w:rFonts w:ascii="Times New Roman" w:hAnsi="Times New Roman" w:cs="Times New Roman"/>
          <w:i/>
          <w:iCs/>
          <w:sz w:val="20"/>
          <w:szCs w:val="20"/>
        </w:rPr>
        <w:tab/>
        <w:t xml:space="preserve"> inform AMF and other gNBs in NGAP messages (as described in solution#11 and others)</w:t>
      </w:r>
    </w:p>
    <w:p w14:paraId="7B8AAA87" w14:textId="77777777" w:rsidR="00E57908"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E57908">
        <w:rPr>
          <w:rFonts w:ascii="Times New Roman" w:hAnsi="Times New Roman" w:cs="Times New Roman"/>
          <w:i/>
          <w:iCs/>
          <w:sz w:val="20"/>
          <w:szCs w:val="20"/>
        </w:rPr>
        <w:t>b)</w:t>
      </w:r>
      <w:r w:rsidRPr="00E57908">
        <w:rPr>
          <w:rFonts w:ascii="Times New Roman" w:hAnsi="Times New Roman" w:cs="Times New Roman"/>
          <w:i/>
          <w:iCs/>
          <w:sz w:val="20"/>
          <w:szCs w:val="20"/>
        </w:rPr>
        <w:tab/>
        <w:t>Whether in Constrained Service Area the network slice is still supported but since no dedicated resources are allocated for the network slice the SLA of the network slice is not guaranteed.(as described in solution#45).</w:t>
      </w:r>
    </w:p>
    <w:p w14:paraId="11BCE8DE" w14:textId="77777777" w:rsidR="00E57908"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p>
    <w:p w14:paraId="37962F10" w14:textId="1A29CB45" w:rsidR="00255647" w:rsidRPr="00E57908" w:rsidRDefault="00E57908" w:rsidP="00E57908">
      <w:pPr>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E57908">
        <w:rPr>
          <w:rFonts w:ascii="Times New Roman" w:hAnsi="Times New Roman" w:cs="Times New Roman"/>
          <w:i/>
          <w:iCs/>
          <w:sz w:val="20"/>
          <w:szCs w:val="20"/>
        </w:rPr>
        <w:t>3.</w:t>
      </w:r>
      <w:r w:rsidRPr="00E57908">
        <w:rPr>
          <w:rFonts w:ascii="Times New Roman" w:hAnsi="Times New Roman" w:cs="Times New Roman"/>
          <w:i/>
          <w:iCs/>
          <w:sz w:val="20"/>
          <w:szCs w:val="20"/>
        </w:rPr>
        <w:tab/>
        <w:t>The NG-RAN receives in solution 29 (but conceivably this would be needed for similar solutions) the partially allowed S-NSSAIs in addition to the Allowed NSSAI. Can the NG-RAN in principle trigger handover procedure to a supporting TAI of the partially allowed S-NSSAIs when it is possible to do so? this can happen while in connected mode or when the UE is engaged in transition from Idle to connected mode. The reason is to enable the support of the maximum number of S-NSSAIs in the Allowed and partly allowed S-NSSAIs lists.</w:t>
      </w:r>
    </w:p>
    <w:p w14:paraId="5A2D8166" w14:textId="77777777" w:rsidR="00241C77" w:rsidRDefault="00241C77" w:rsidP="00241C77">
      <w:pPr>
        <w:keepNext/>
        <w:jc w:val="center"/>
      </w:pPr>
      <w:r>
        <w:rPr>
          <w:noProof/>
          <w:lang w:val="en-GB"/>
        </w:rPr>
        <w:lastRenderedPageBreak/>
        <w:drawing>
          <wp:inline distT="0" distB="0" distL="0" distR="0" wp14:anchorId="6A91113A" wp14:editId="3C73B4A8">
            <wp:extent cx="5943600" cy="2836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836545"/>
                    </a:xfrm>
                    <a:prstGeom prst="rect">
                      <a:avLst/>
                    </a:prstGeom>
                    <a:noFill/>
                    <a:ln>
                      <a:noFill/>
                    </a:ln>
                  </pic:spPr>
                </pic:pic>
              </a:graphicData>
            </a:graphic>
          </wp:inline>
        </w:drawing>
      </w:r>
    </w:p>
    <w:p w14:paraId="1EC9F961" w14:textId="2031C36D" w:rsidR="00241C77" w:rsidRDefault="00241C77" w:rsidP="00241C77">
      <w:pPr>
        <w:pStyle w:val="Caption"/>
        <w:jc w:val="center"/>
      </w:pPr>
      <w:bookmarkStart w:id="3" w:name="_Ref115279912"/>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E549C6">
        <w:t>Example TA topology including Primary and Secondary TAs</w:t>
      </w:r>
    </w:p>
    <w:p w14:paraId="4898A0EE" w14:textId="77777777" w:rsidR="00241C77" w:rsidRDefault="00241C77" w:rsidP="00241C77">
      <w:pPr>
        <w:jc w:val="center"/>
      </w:pPr>
    </w:p>
    <w:p w14:paraId="4427F097" w14:textId="0D21747D" w:rsidR="00E57908" w:rsidRPr="00305D41" w:rsidRDefault="004267E0" w:rsidP="00D51412">
      <w:pPr>
        <w:rPr>
          <w:rFonts w:ascii="Garamond" w:hAnsi="Garamond"/>
          <w:sz w:val="20"/>
          <w:szCs w:val="20"/>
        </w:rPr>
      </w:pPr>
      <w:r w:rsidRPr="00305D41">
        <w:rPr>
          <w:rFonts w:ascii="Garamond" w:hAnsi="Garamond"/>
          <w:b/>
          <w:bCs/>
          <w:sz w:val="20"/>
          <w:szCs w:val="20"/>
        </w:rPr>
        <w:t>Secondary TAI based solution</w:t>
      </w:r>
      <w:r w:rsidRPr="00305D41">
        <w:rPr>
          <w:rFonts w:ascii="Garamond" w:hAnsi="Garamond"/>
          <w:sz w:val="20"/>
          <w:szCs w:val="20"/>
        </w:rPr>
        <w:t xml:space="preserve"> intends to create new TAs within geographies of an older TA</w:t>
      </w:r>
      <w:r w:rsidR="00D51412" w:rsidRPr="00305D41">
        <w:rPr>
          <w:rFonts w:ascii="Garamond" w:hAnsi="Garamond"/>
          <w:sz w:val="20"/>
          <w:szCs w:val="20"/>
        </w:rPr>
        <w:t xml:space="preserve">, as shown in </w:t>
      </w:r>
      <w:r w:rsidR="00D51412" w:rsidRPr="00305D41">
        <w:rPr>
          <w:rFonts w:ascii="Garamond" w:hAnsi="Garamond"/>
          <w:sz w:val="20"/>
          <w:szCs w:val="20"/>
        </w:rPr>
        <w:fldChar w:fldCharType="begin"/>
      </w:r>
      <w:r w:rsidR="00D51412" w:rsidRPr="00305D41">
        <w:rPr>
          <w:rFonts w:ascii="Garamond" w:hAnsi="Garamond"/>
          <w:sz w:val="20"/>
          <w:szCs w:val="20"/>
        </w:rPr>
        <w:instrText xml:space="preserve"> REF _Ref115279912 \h </w:instrText>
      </w:r>
      <w:r w:rsidR="00305D41" w:rsidRPr="00305D41">
        <w:rPr>
          <w:rFonts w:ascii="Garamond" w:hAnsi="Garamond"/>
          <w:sz w:val="20"/>
          <w:szCs w:val="20"/>
        </w:rPr>
        <w:instrText xml:space="preserve"> \* MERGEFORMAT </w:instrText>
      </w:r>
      <w:r w:rsidR="00D51412" w:rsidRPr="00305D41">
        <w:rPr>
          <w:rFonts w:ascii="Garamond" w:hAnsi="Garamond"/>
          <w:sz w:val="20"/>
          <w:szCs w:val="20"/>
        </w:rPr>
      </w:r>
      <w:r w:rsidR="00D51412" w:rsidRPr="00305D41">
        <w:rPr>
          <w:rFonts w:ascii="Garamond" w:hAnsi="Garamond"/>
          <w:sz w:val="20"/>
          <w:szCs w:val="20"/>
        </w:rPr>
        <w:fldChar w:fldCharType="separate"/>
      </w:r>
      <w:r w:rsidR="00D51412" w:rsidRPr="00305D41">
        <w:rPr>
          <w:rFonts w:ascii="Garamond" w:hAnsi="Garamond"/>
          <w:sz w:val="20"/>
          <w:szCs w:val="20"/>
        </w:rPr>
        <w:t xml:space="preserve">Figure </w:t>
      </w:r>
      <w:r w:rsidR="00D51412" w:rsidRPr="00305D41">
        <w:rPr>
          <w:rFonts w:ascii="Garamond" w:hAnsi="Garamond"/>
          <w:noProof/>
          <w:sz w:val="20"/>
          <w:szCs w:val="20"/>
        </w:rPr>
        <w:t>1</w:t>
      </w:r>
      <w:r w:rsidR="00D51412" w:rsidRPr="00305D41">
        <w:rPr>
          <w:rFonts w:ascii="Garamond" w:hAnsi="Garamond"/>
          <w:sz w:val="20"/>
          <w:szCs w:val="20"/>
        </w:rPr>
        <w:fldChar w:fldCharType="end"/>
      </w:r>
      <w:r w:rsidRPr="00305D41">
        <w:rPr>
          <w:rFonts w:ascii="Garamond" w:hAnsi="Garamond"/>
          <w:sz w:val="20"/>
          <w:szCs w:val="20"/>
        </w:rPr>
        <w:t xml:space="preserve">. This allows the network to signal to Rel. 18 (and beyond) UEs a different TA-list as part of its registration area and thereby allocating different allowed-slice-groups, while not affecting the legacy UEs. This solution </w:t>
      </w:r>
      <w:r w:rsidR="00787D39">
        <w:rPr>
          <w:rFonts w:ascii="Garamond" w:hAnsi="Garamond"/>
          <w:sz w:val="20"/>
          <w:szCs w:val="20"/>
        </w:rPr>
        <w:t xml:space="preserve">allows a granular control over slice deployment but </w:t>
      </w:r>
      <w:r w:rsidRPr="00305D41">
        <w:rPr>
          <w:rFonts w:ascii="Garamond" w:hAnsi="Garamond"/>
          <w:sz w:val="20"/>
          <w:szCs w:val="20"/>
        </w:rPr>
        <w:t>has some problems:</w:t>
      </w:r>
    </w:p>
    <w:p w14:paraId="38A2E0CB" w14:textId="0402B078" w:rsidR="004267E0" w:rsidRPr="00305D41" w:rsidRDefault="004267E0" w:rsidP="004267E0">
      <w:pPr>
        <w:pStyle w:val="ListParagraph"/>
        <w:numPr>
          <w:ilvl w:val="0"/>
          <w:numId w:val="26"/>
        </w:numPr>
        <w:rPr>
          <w:rFonts w:ascii="Garamond" w:hAnsi="Garamond"/>
        </w:rPr>
      </w:pPr>
      <w:r w:rsidRPr="00305D41">
        <w:rPr>
          <w:rFonts w:ascii="Garamond" w:hAnsi="Garamond"/>
        </w:rPr>
        <w:t>Since the slice-group to a legacy Rel. 17 UE needs to be still available in the entire bigger TA</w:t>
      </w:r>
      <w:r w:rsidR="00D51412" w:rsidRPr="00305D41">
        <w:rPr>
          <w:rFonts w:ascii="Garamond" w:hAnsi="Garamond"/>
        </w:rPr>
        <w:t xml:space="preserve"> (TA1 in </w:t>
      </w:r>
      <w:r w:rsidR="00D51412" w:rsidRPr="00305D41">
        <w:rPr>
          <w:rFonts w:ascii="Garamond" w:hAnsi="Garamond"/>
        </w:rPr>
        <w:fldChar w:fldCharType="begin"/>
      </w:r>
      <w:r w:rsidR="00D51412" w:rsidRPr="00305D41">
        <w:rPr>
          <w:rFonts w:ascii="Garamond" w:hAnsi="Garamond"/>
        </w:rPr>
        <w:instrText xml:space="preserve"> REF _Ref115279912 \h </w:instrText>
      </w:r>
      <w:r w:rsidR="00305D41" w:rsidRPr="00305D41">
        <w:rPr>
          <w:rFonts w:ascii="Garamond" w:hAnsi="Garamond"/>
        </w:rPr>
        <w:instrText xml:space="preserve"> \* MERGEFORMAT </w:instrText>
      </w:r>
      <w:r w:rsidR="00D51412" w:rsidRPr="00305D41">
        <w:rPr>
          <w:rFonts w:ascii="Garamond" w:hAnsi="Garamond"/>
        </w:rPr>
      </w:r>
      <w:r w:rsidR="00D51412" w:rsidRPr="00305D41">
        <w:rPr>
          <w:rFonts w:ascii="Garamond" w:hAnsi="Garamond"/>
        </w:rPr>
        <w:fldChar w:fldCharType="separate"/>
      </w:r>
      <w:r w:rsidR="00D51412" w:rsidRPr="00305D41">
        <w:rPr>
          <w:rFonts w:ascii="Garamond" w:hAnsi="Garamond"/>
        </w:rPr>
        <w:t xml:space="preserve">Figure </w:t>
      </w:r>
      <w:r w:rsidR="00D51412" w:rsidRPr="00305D41">
        <w:rPr>
          <w:rFonts w:ascii="Garamond" w:hAnsi="Garamond"/>
          <w:noProof/>
        </w:rPr>
        <w:t>1</w:t>
      </w:r>
      <w:r w:rsidR="00D51412" w:rsidRPr="00305D41">
        <w:rPr>
          <w:rFonts w:ascii="Garamond" w:hAnsi="Garamond"/>
        </w:rPr>
        <w:fldChar w:fldCharType="end"/>
      </w:r>
      <w:r w:rsidR="00D51412" w:rsidRPr="00305D41">
        <w:rPr>
          <w:rFonts w:ascii="Garamond" w:hAnsi="Garamond"/>
        </w:rPr>
        <w:t xml:space="preserve">), </w:t>
      </w:r>
      <w:r w:rsidR="00E14101" w:rsidRPr="00305D41">
        <w:rPr>
          <w:rFonts w:ascii="Garamond" w:hAnsi="Garamond"/>
        </w:rPr>
        <w:t>this per se does not allow an operator to get away from the Slice homogeneity principle inside a TA.</w:t>
      </w:r>
    </w:p>
    <w:p w14:paraId="2AD0FF85" w14:textId="38AD8A69" w:rsidR="00E14101" w:rsidRPr="00305D41" w:rsidRDefault="00E14101" w:rsidP="004267E0">
      <w:pPr>
        <w:pStyle w:val="ListParagraph"/>
        <w:numPr>
          <w:ilvl w:val="0"/>
          <w:numId w:val="26"/>
        </w:numPr>
        <w:rPr>
          <w:rFonts w:ascii="Garamond" w:hAnsi="Garamond"/>
        </w:rPr>
      </w:pPr>
      <w:r w:rsidRPr="00305D41">
        <w:rPr>
          <w:rFonts w:ascii="Garamond" w:hAnsi="Garamond"/>
        </w:rPr>
        <w:t xml:space="preserve">The introduction of Secondary TAI in SIB is not only a signalling burden but will also lead to further complication in UE behaviour when dealing with e.g., </w:t>
      </w:r>
      <w:r w:rsidRPr="00305D41">
        <w:rPr>
          <w:rFonts w:ascii="Garamond" w:hAnsi="Garamond"/>
          <w:i/>
          <w:iCs/>
        </w:rPr>
        <w:t>cellAccessRelatedInfo</w:t>
      </w:r>
      <w:r w:rsidRPr="00305D41">
        <w:rPr>
          <w:rFonts w:ascii="Garamond" w:hAnsi="Garamond"/>
        </w:rPr>
        <w:t>.</w:t>
      </w:r>
    </w:p>
    <w:p w14:paraId="74A3A240" w14:textId="4F6DEE44" w:rsidR="00E14101" w:rsidRPr="00305D41" w:rsidRDefault="00E14101" w:rsidP="00E14101">
      <w:pPr>
        <w:rPr>
          <w:rFonts w:ascii="Garamond" w:hAnsi="Garamond"/>
          <w:sz w:val="20"/>
          <w:szCs w:val="20"/>
        </w:rPr>
      </w:pPr>
      <w:r w:rsidRPr="00305D41">
        <w:rPr>
          <w:rFonts w:ascii="Garamond" w:hAnsi="Garamond"/>
          <w:sz w:val="20"/>
          <w:szCs w:val="20"/>
        </w:rPr>
        <w:t>Therefore, this solution should only be used if there’s no better solution available.</w:t>
      </w:r>
    </w:p>
    <w:p w14:paraId="475A8BA2" w14:textId="79D98FA2" w:rsidR="00E14101" w:rsidRDefault="00305D41" w:rsidP="00E14101">
      <w:pPr>
        <w:rPr>
          <w:rFonts w:ascii="Garamond" w:hAnsi="Garamond"/>
          <w:sz w:val="20"/>
          <w:szCs w:val="20"/>
        </w:rPr>
      </w:pPr>
      <w:r w:rsidRPr="00305D41">
        <w:rPr>
          <w:rFonts w:ascii="Garamond" w:hAnsi="Garamond" w:cs="Times New Roman"/>
          <w:b/>
          <w:bCs/>
          <w:sz w:val="20"/>
          <w:szCs w:val="20"/>
        </w:rPr>
        <w:t>The solution#29, “partially allowed S-NSSAIs in addition to the Allowed NSSAI”</w:t>
      </w:r>
      <w:r w:rsidRPr="00305D41">
        <w:rPr>
          <w:rFonts w:ascii="Garamond" w:hAnsi="Garamond" w:cs="Times New Roman"/>
          <w:sz w:val="20"/>
          <w:szCs w:val="20"/>
        </w:rPr>
        <w:t xml:space="preserve"> does not go inside a TA, so the </w:t>
      </w:r>
      <w:r w:rsidRPr="00305D41">
        <w:rPr>
          <w:rFonts w:ascii="Garamond" w:hAnsi="Garamond"/>
          <w:sz w:val="20"/>
          <w:szCs w:val="20"/>
        </w:rPr>
        <w:t>Slice homogeneity principle must still be maintained by the operator.</w:t>
      </w:r>
      <w:r>
        <w:rPr>
          <w:rFonts w:ascii="Garamond" w:hAnsi="Garamond"/>
          <w:sz w:val="20"/>
          <w:szCs w:val="20"/>
        </w:rPr>
        <w:t xml:space="preserve"> It allows that some slices are supported only on certain TAs and other slices on other TAs in the UE’s RA. While this is some respite to the operator but does not allow more granular control of slice support.</w:t>
      </w:r>
    </w:p>
    <w:p w14:paraId="5B96AEFB" w14:textId="099F6F36" w:rsidR="00564FF2" w:rsidRDefault="00564FF2" w:rsidP="00E14101">
      <w:pPr>
        <w:rPr>
          <w:rFonts w:ascii="Garamond" w:hAnsi="Garamond" w:cs="Times New Roman"/>
          <w:sz w:val="20"/>
          <w:szCs w:val="20"/>
        </w:rPr>
      </w:pPr>
      <w:r w:rsidRPr="0026239B">
        <w:rPr>
          <w:rFonts w:ascii="Garamond" w:hAnsi="Garamond"/>
          <w:sz w:val="20"/>
          <w:szCs w:val="20"/>
        </w:rPr>
        <w:t xml:space="preserve">We think, </w:t>
      </w:r>
      <w:r w:rsidRPr="0026239B">
        <w:rPr>
          <w:rFonts w:ascii="Garamond" w:hAnsi="Garamond" w:cs="Times New Roman"/>
          <w:sz w:val="20"/>
          <w:szCs w:val="20"/>
        </w:rPr>
        <w:t xml:space="preserve">slice availability on a per-cell basis is the best way forward especially since in Rel. 17 RAN2 and to our knowledge the SA2 specification did not implement any check in the UE for verifying if the allowed slices are really available homogeneously in the entire TA. The </w:t>
      </w:r>
      <w:r w:rsidRPr="0026239B">
        <w:rPr>
          <w:rFonts w:ascii="Garamond" w:hAnsi="Garamond" w:cs="Times New Roman"/>
          <w:i/>
          <w:iCs/>
          <w:sz w:val="20"/>
          <w:szCs w:val="20"/>
        </w:rPr>
        <w:t>sliceInfoList</w:t>
      </w:r>
      <w:r w:rsidRPr="0026239B">
        <w:rPr>
          <w:rFonts w:ascii="Garamond" w:hAnsi="Garamond" w:cs="Times New Roman"/>
          <w:sz w:val="20"/>
          <w:szCs w:val="20"/>
        </w:rPr>
        <w:t xml:space="preserve"> &amp; </w:t>
      </w:r>
      <w:r w:rsidRPr="0026239B">
        <w:rPr>
          <w:rFonts w:ascii="Garamond" w:hAnsi="Garamond" w:cs="Times New Roman"/>
          <w:i/>
          <w:iCs/>
          <w:sz w:val="20"/>
          <w:szCs w:val="20"/>
        </w:rPr>
        <w:t>SliceInfoListDedicated</w:t>
      </w:r>
      <w:r w:rsidRPr="0026239B">
        <w:rPr>
          <w:rFonts w:ascii="Garamond" w:hAnsi="Garamond" w:cs="Times New Roman"/>
          <w:sz w:val="20"/>
          <w:szCs w:val="20"/>
        </w:rPr>
        <w:t xml:space="preserve"> provides slice information on frequency/ cell basis, not on TA basis. So, if the SA2 </w:t>
      </w:r>
      <w:r w:rsidR="0026239B" w:rsidRPr="0026239B">
        <w:rPr>
          <w:rFonts w:ascii="Garamond" w:hAnsi="Garamond" w:cs="Times New Roman"/>
          <w:sz w:val="20"/>
          <w:szCs w:val="20"/>
        </w:rPr>
        <w:t>intention</w:t>
      </w:r>
      <w:r w:rsidRPr="0026239B">
        <w:rPr>
          <w:rFonts w:ascii="Garamond" w:hAnsi="Garamond" w:cs="Times New Roman"/>
          <w:sz w:val="20"/>
          <w:szCs w:val="20"/>
        </w:rPr>
        <w:t xml:space="preserve"> is to go more granular than a TA, this solution is sufficient to address it – without needing </w:t>
      </w:r>
      <w:r w:rsidR="0026239B" w:rsidRPr="0026239B">
        <w:rPr>
          <w:rFonts w:ascii="Garamond" w:hAnsi="Garamond" w:cs="Times New Roman"/>
          <w:sz w:val="20"/>
          <w:szCs w:val="20"/>
        </w:rPr>
        <w:t>(m)</w:t>
      </w:r>
      <w:r w:rsidRPr="0026239B">
        <w:rPr>
          <w:rFonts w:ascii="Garamond" w:hAnsi="Garamond" w:cs="Times New Roman"/>
          <w:sz w:val="20"/>
          <w:szCs w:val="20"/>
        </w:rPr>
        <w:t>any</w:t>
      </w:r>
      <w:r w:rsidR="0026239B" w:rsidRPr="0026239B">
        <w:rPr>
          <w:rFonts w:ascii="Garamond" w:hAnsi="Garamond" w:cs="Times New Roman"/>
          <w:sz w:val="20"/>
          <w:szCs w:val="20"/>
        </w:rPr>
        <w:t xml:space="preserve"> changes in the specification.</w:t>
      </w:r>
    </w:p>
    <w:p w14:paraId="447A1C72" w14:textId="0DC70254" w:rsidR="00E51219" w:rsidRPr="00E51219" w:rsidRDefault="00E51219" w:rsidP="00E14101">
      <w:pPr>
        <w:rPr>
          <w:rFonts w:ascii="Garamond" w:hAnsi="Garamond"/>
          <w:b/>
          <w:bCs/>
          <w:sz w:val="20"/>
          <w:szCs w:val="20"/>
        </w:rPr>
      </w:pPr>
      <w:r w:rsidRPr="00E51219">
        <w:rPr>
          <w:rFonts w:ascii="Garamond" w:hAnsi="Garamond" w:cs="Times New Roman"/>
          <w:b/>
          <w:bCs/>
          <w:sz w:val="20"/>
          <w:szCs w:val="20"/>
        </w:rPr>
        <w:t>Proposal:  RAN2 may reply to SA2 indicating that slice availability on a per-cell basis is the best way forward.</w:t>
      </w:r>
    </w:p>
    <w:p w14:paraId="6201E341" w14:textId="77777777" w:rsidR="00305D41" w:rsidRPr="00305D41" w:rsidRDefault="00305D41" w:rsidP="00E14101">
      <w:pPr>
        <w:rPr>
          <w:rFonts w:ascii="Garamond" w:hAnsi="Garamond"/>
          <w:sz w:val="20"/>
          <w:szCs w:val="20"/>
        </w:rPr>
      </w:pPr>
    </w:p>
    <w:p w14:paraId="185FB279" w14:textId="3EBBC2AB" w:rsidR="000C124B" w:rsidRPr="007022BC" w:rsidRDefault="000C124B" w:rsidP="000C124B">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0A51079B" w:rsidR="00CE5633" w:rsidRPr="00742E3F" w:rsidRDefault="000C124B" w:rsidP="00F9300A">
      <w:pPr>
        <w:spacing w:afterLines="50" w:after="120"/>
        <w:rPr>
          <w:rFonts w:ascii="Garamond" w:hAnsi="Garamond" w:cs="Times New Roman"/>
          <w:sz w:val="20"/>
          <w:szCs w:val="20"/>
        </w:rPr>
      </w:pPr>
      <w:r w:rsidRPr="00742E3F">
        <w:rPr>
          <w:rFonts w:ascii="Garamond" w:hAnsi="Garamond" w:cs="Times New Roman"/>
          <w:sz w:val="20"/>
          <w:szCs w:val="20"/>
        </w:rPr>
        <w:t xml:space="preserve">In this contribution, </w:t>
      </w:r>
      <w:r w:rsidR="0086405A" w:rsidRPr="00742E3F">
        <w:rPr>
          <w:rFonts w:ascii="Garamond" w:hAnsi="Garamond" w:cs="Times New Roman"/>
          <w:sz w:val="20"/>
          <w:szCs w:val="20"/>
        </w:rPr>
        <w:t xml:space="preserve">following </w:t>
      </w:r>
      <w:r w:rsidRPr="00742E3F">
        <w:rPr>
          <w:rFonts w:ascii="Garamond" w:hAnsi="Garamond" w:cs="Times New Roman"/>
          <w:sz w:val="20"/>
          <w:szCs w:val="20"/>
        </w:rPr>
        <w:t xml:space="preserve">proposal </w:t>
      </w:r>
      <w:r w:rsidR="00A33918">
        <w:rPr>
          <w:rFonts w:ascii="Garamond" w:hAnsi="Garamond" w:cs="Times New Roman"/>
          <w:sz w:val="20"/>
          <w:szCs w:val="20"/>
        </w:rPr>
        <w:t xml:space="preserve">is </w:t>
      </w:r>
      <w:r w:rsidRPr="00742E3F">
        <w:rPr>
          <w:rFonts w:ascii="Garamond" w:hAnsi="Garamond" w:cs="Times New Roman"/>
          <w:sz w:val="20"/>
          <w:szCs w:val="20"/>
        </w:rPr>
        <w:t>made:</w:t>
      </w:r>
      <w:bookmarkStart w:id="4" w:name="_Annex"/>
      <w:bookmarkEnd w:id="4"/>
    </w:p>
    <w:p w14:paraId="2AB4F43D" w14:textId="7C2D3B14" w:rsidR="00E57908" w:rsidRPr="00A33918" w:rsidRDefault="00207C74" w:rsidP="00A33918">
      <w:pPr>
        <w:rPr>
          <w:rFonts w:ascii="Garamond" w:hAnsi="Garamond"/>
          <w:b/>
          <w:bCs/>
          <w:sz w:val="20"/>
          <w:szCs w:val="20"/>
        </w:rPr>
      </w:pPr>
      <w:r w:rsidRPr="00E51219">
        <w:rPr>
          <w:rFonts w:ascii="Garamond" w:hAnsi="Garamond" w:cs="Times New Roman"/>
          <w:b/>
          <w:bCs/>
          <w:sz w:val="20"/>
          <w:szCs w:val="20"/>
        </w:rPr>
        <w:t>Proposal:  RAN2 may reply to SA2 indicating that slice availability on a per-cell basis is the best way forward.</w:t>
      </w:r>
    </w:p>
    <w:sectPr w:rsidR="00E57908" w:rsidRPr="00A339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D168" w14:textId="77777777" w:rsidR="00D130AD" w:rsidRDefault="00D130AD" w:rsidP="00FC6453">
      <w:pPr>
        <w:spacing w:after="0" w:line="240" w:lineRule="auto"/>
      </w:pPr>
      <w:r>
        <w:separator/>
      </w:r>
    </w:p>
  </w:endnote>
  <w:endnote w:type="continuationSeparator" w:id="0">
    <w:p w14:paraId="30263088" w14:textId="77777777" w:rsidR="00D130AD" w:rsidRDefault="00D130AD"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8818" w14:textId="77777777" w:rsidR="00D130AD" w:rsidRDefault="00D130AD" w:rsidP="00FC6453">
      <w:pPr>
        <w:spacing w:after="0" w:line="240" w:lineRule="auto"/>
      </w:pPr>
      <w:r>
        <w:separator/>
      </w:r>
    </w:p>
  </w:footnote>
  <w:footnote w:type="continuationSeparator" w:id="0">
    <w:p w14:paraId="1AB7491B" w14:textId="77777777" w:rsidR="00D130AD" w:rsidRDefault="00D130AD"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E0"/>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F40BB"/>
    <w:multiLevelType w:val="hybridMultilevel"/>
    <w:tmpl w:val="1CFEB3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07E0F"/>
    <w:multiLevelType w:val="hybridMultilevel"/>
    <w:tmpl w:val="AC7A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8" w15:restartNumberingAfterBreak="0">
    <w:nsid w:val="2EC27644"/>
    <w:multiLevelType w:val="hybridMultilevel"/>
    <w:tmpl w:val="69BCB6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B758AB"/>
    <w:multiLevelType w:val="hybridMultilevel"/>
    <w:tmpl w:val="23748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705A06"/>
    <w:multiLevelType w:val="hybridMultilevel"/>
    <w:tmpl w:val="CAB61BFE"/>
    <w:lvl w:ilvl="0" w:tplc="69461C08">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15:restartNumberingAfterBreak="0">
    <w:nsid w:val="52653546"/>
    <w:multiLevelType w:val="hybridMultilevel"/>
    <w:tmpl w:val="E78C7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A57F0F"/>
    <w:multiLevelType w:val="hybridMultilevel"/>
    <w:tmpl w:val="65C250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427204"/>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C42CB5"/>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C5B2A76"/>
    <w:multiLevelType w:val="hybridMultilevel"/>
    <w:tmpl w:val="35208C4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3C121B"/>
    <w:multiLevelType w:val="hybridMultilevel"/>
    <w:tmpl w:val="82EE4646"/>
    <w:lvl w:ilvl="0" w:tplc="10DE59F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3"/>
  </w:num>
  <w:num w:numId="3">
    <w:abstractNumId w:val="15"/>
  </w:num>
  <w:num w:numId="4">
    <w:abstractNumId w:val="3"/>
  </w:num>
  <w:num w:numId="5">
    <w:abstractNumId w:val="20"/>
  </w:num>
  <w:num w:numId="6">
    <w:abstractNumId w:val="1"/>
  </w:num>
  <w:num w:numId="7">
    <w:abstractNumId w:val="3"/>
  </w:num>
  <w:num w:numId="8">
    <w:abstractNumId w:val="15"/>
  </w:num>
  <w:num w:numId="9">
    <w:abstractNumId w:val="7"/>
  </w:num>
  <w:num w:numId="10">
    <w:abstractNumId w:val="12"/>
  </w:num>
  <w:num w:numId="11">
    <w:abstractNumId w:val="11"/>
  </w:num>
  <w:num w:numId="12">
    <w:abstractNumId w:val="4"/>
  </w:num>
  <w:num w:numId="13">
    <w:abstractNumId w:val="14"/>
  </w:num>
  <w:num w:numId="14">
    <w:abstractNumId w:val="16"/>
  </w:num>
  <w:num w:numId="15">
    <w:abstractNumId w:val="21"/>
  </w:num>
  <w:num w:numId="16">
    <w:abstractNumId w:val="19"/>
  </w:num>
  <w:num w:numId="17">
    <w:abstractNumId w:val="6"/>
  </w:num>
  <w:num w:numId="18">
    <w:abstractNumId w:val="22"/>
  </w:num>
  <w:num w:numId="19">
    <w:abstractNumId w:val="17"/>
  </w:num>
  <w:num w:numId="20">
    <w:abstractNumId w:val="13"/>
  </w:num>
  <w:num w:numId="21">
    <w:abstractNumId w:val="8"/>
  </w:num>
  <w:num w:numId="22">
    <w:abstractNumId w:val="0"/>
  </w:num>
  <w:num w:numId="23">
    <w:abstractNumId w:val="18"/>
  </w:num>
  <w:num w:numId="24">
    <w:abstractNumId w:val="10"/>
  </w:num>
  <w:num w:numId="25">
    <w:abstractNumId w:val="9"/>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7C7A"/>
    <w:rsid w:val="000316E0"/>
    <w:rsid w:val="000338BB"/>
    <w:rsid w:val="00035774"/>
    <w:rsid w:val="00037EC7"/>
    <w:rsid w:val="00052297"/>
    <w:rsid w:val="000601F6"/>
    <w:rsid w:val="0006170C"/>
    <w:rsid w:val="00072F36"/>
    <w:rsid w:val="00082C7A"/>
    <w:rsid w:val="00084A01"/>
    <w:rsid w:val="00094C5A"/>
    <w:rsid w:val="000A165E"/>
    <w:rsid w:val="000A4C8B"/>
    <w:rsid w:val="000A6F76"/>
    <w:rsid w:val="000B5090"/>
    <w:rsid w:val="000C124B"/>
    <w:rsid w:val="000E38D0"/>
    <w:rsid w:val="00104D48"/>
    <w:rsid w:val="0011313A"/>
    <w:rsid w:val="00113BC6"/>
    <w:rsid w:val="001243B1"/>
    <w:rsid w:val="00124CEF"/>
    <w:rsid w:val="00125688"/>
    <w:rsid w:val="00133BAB"/>
    <w:rsid w:val="00135446"/>
    <w:rsid w:val="0013580E"/>
    <w:rsid w:val="00135D25"/>
    <w:rsid w:val="0014176E"/>
    <w:rsid w:val="00155AAA"/>
    <w:rsid w:val="00160140"/>
    <w:rsid w:val="001611F1"/>
    <w:rsid w:val="00165DC3"/>
    <w:rsid w:val="001716EA"/>
    <w:rsid w:val="0017228D"/>
    <w:rsid w:val="00172899"/>
    <w:rsid w:val="0017502D"/>
    <w:rsid w:val="00180B0E"/>
    <w:rsid w:val="00182CD2"/>
    <w:rsid w:val="001A3916"/>
    <w:rsid w:val="001A547E"/>
    <w:rsid w:val="001A6BB3"/>
    <w:rsid w:val="001B3499"/>
    <w:rsid w:val="001C2F13"/>
    <w:rsid w:val="001C791C"/>
    <w:rsid w:val="001C7BF0"/>
    <w:rsid w:val="001C7CC0"/>
    <w:rsid w:val="001D584A"/>
    <w:rsid w:val="001E7CD5"/>
    <w:rsid w:val="001F1A9F"/>
    <w:rsid w:val="001F657F"/>
    <w:rsid w:val="002014B3"/>
    <w:rsid w:val="00206630"/>
    <w:rsid w:val="00207C74"/>
    <w:rsid w:val="0021733E"/>
    <w:rsid w:val="00221509"/>
    <w:rsid w:val="00224828"/>
    <w:rsid w:val="002268C7"/>
    <w:rsid w:val="002325AD"/>
    <w:rsid w:val="00233B00"/>
    <w:rsid w:val="0023735A"/>
    <w:rsid w:val="00241C77"/>
    <w:rsid w:val="00241D01"/>
    <w:rsid w:val="00247E40"/>
    <w:rsid w:val="00251244"/>
    <w:rsid w:val="00255647"/>
    <w:rsid w:val="0026239B"/>
    <w:rsid w:val="0027067B"/>
    <w:rsid w:val="00276A24"/>
    <w:rsid w:val="002A55D9"/>
    <w:rsid w:val="002B5A3D"/>
    <w:rsid w:val="002C3D2D"/>
    <w:rsid w:val="002D1DF2"/>
    <w:rsid w:val="002E3235"/>
    <w:rsid w:val="002E5577"/>
    <w:rsid w:val="002E5873"/>
    <w:rsid w:val="002F5A69"/>
    <w:rsid w:val="00305D41"/>
    <w:rsid w:val="003145C8"/>
    <w:rsid w:val="00324F3B"/>
    <w:rsid w:val="00346AB2"/>
    <w:rsid w:val="00353336"/>
    <w:rsid w:val="00361B8B"/>
    <w:rsid w:val="003644B0"/>
    <w:rsid w:val="00376958"/>
    <w:rsid w:val="00393691"/>
    <w:rsid w:val="003A422B"/>
    <w:rsid w:val="003A6C51"/>
    <w:rsid w:val="003C3D22"/>
    <w:rsid w:val="003C6344"/>
    <w:rsid w:val="003D2B38"/>
    <w:rsid w:val="003E0030"/>
    <w:rsid w:val="003E06D5"/>
    <w:rsid w:val="003E1925"/>
    <w:rsid w:val="003E3C25"/>
    <w:rsid w:val="003E6223"/>
    <w:rsid w:val="003F1FB2"/>
    <w:rsid w:val="00402305"/>
    <w:rsid w:val="00410779"/>
    <w:rsid w:val="00412CD0"/>
    <w:rsid w:val="004267E0"/>
    <w:rsid w:val="00430987"/>
    <w:rsid w:val="00436ECE"/>
    <w:rsid w:val="004412D3"/>
    <w:rsid w:val="00443173"/>
    <w:rsid w:val="00452B28"/>
    <w:rsid w:val="00452D98"/>
    <w:rsid w:val="004537EC"/>
    <w:rsid w:val="00455538"/>
    <w:rsid w:val="00455F13"/>
    <w:rsid w:val="00466103"/>
    <w:rsid w:val="00473823"/>
    <w:rsid w:val="00481055"/>
    <w:rsid w:val="00484DDA"/>
    <w:rsid w:val="00486034"/>
    <w:rsid w:val="00497DF4"/>
    <w:rsid w:val="00497F46"/>
    <w:rsid w:val="004A72C1"/>
    <w:rsid w:val="004B4468"/>
    <w:rsid w:val="004B458E"/>
    <w:rsid w:val="004B7C91"/>
    <w:rsid w:val="004C2669"/>
    <w:rsid w:val="004C532C"/>
    <w:rsid w:val="004D1BB9"/>
    <w:rsid w:val="004D21B9"/>
    <w:rsid w:val="004D346B"/>
    <w:rsid w:val="004D45C8"/>
    <w:rsid w:val="004E2DF0"/>
    <w:rsid w:val="004E41EE"/>
    <w:rsid w:val="00506CEF"/>
    <w:rsid w:val="00507030"/>
    <w:rsid w:val="0051762B"/>
    <w:rsid w:val="00521BD3"/>
    <w:rsid w:val="005357E6"/>
    <w:rsid w:val="00540952"/>
    <w:rsid w:val="005409CE"/>
    <w:rsid w:val="00540E31"/>
    <w:rsid w:val="005417A6"/>
    <w:rsid w:val="005417D3"/>
    <w:rsid w:val="00546610"/>
    <w:rsid w:val="00564FF2"/>
    <w:rsid w:val="0057200D"/>
    <w:rsid w:val="005B22B1"/>
    <w:rsid w:val="005B7405"/>
    <w:rsid w:val="005B7C0E"/>
    <w:rsid w:val="005E003D"/>
    <w:rsid w:val="005E09BE"/>
    <w:rsid w:val="005F51BD"/>
    <w:rsid w:val="00605594"/>
    <w:rsid w:val="00607A1C"/>
    <w:rsid w:val="00607DE8"/>
    <w:rsid w:val="0061405D"/>
    <w:rsid w:val="00630420"/>
    <w:rsid w:val="00647426"/>
    <w:rsid w:val="00654BEE"/>
    <w:rsid w:val="0065544D"/>
    <w:rsid w:val="00657CA7"/>
    <w:rsid w:val="00665C1E"/>
    <w:rsid w:val="00666848"/>
    <w:rsid w:val="00671B79"/>
    <w:rsid w:val="006741BA"/>
    <w:rsid w:val="00687224"/>
    <w:rsid w:val="0069176D"/>
    <w:rsid w:val="0069202C"/>
    <w:rsid w:val="00695FC8"/>
    <w:rsid w:val="0069755E"/>
    <w:rsid w:val="006B1AD8"/>
    <w:rsid w:val="006D0714"/>
    <w:rsid w:val="006D379B"/>
    <w:rsid w:val="006D3E93"/>
    <w:rsid w:val="006F57F6"/>
    <w:rsid w:val="006F5EEC"/>
    <w:rsid w:val="007009DC"/>
    <w:rsid w:val="00700BC8"/>
    <w:rsid w:val="00700C64"/>
    <w:rsid w:val="007022BC"/>
    <w:rsid w:val="00710217"/>
    <w:rsid w:val="007123BA"/>
    <w:rsid w:val="007141D3"/>
    <w:rsid w:val="00730096"/>
    <w:rsid w:val="00731253"/>
    <w:rsid w:val="007402ED"/>
    <w:rsid w:val="00742E3F"/>
    <w:rsid w:val="0074618D"/>
    <w:rsid w:val="00746B52"/>
    <w:rsid w:val="00750FCF"/>
    <w:rsid w:val="007549E8"/>
    <w:rsid w:val="00770BE4"/>
    <w:rsid w:val="00771B6C"/>
    <w:rsid w:val="00776A56"/>
    <w:rsid w:val="00783889"/>
    <w:rsid w:val="00784908"/>
    <w:rsid w:val="007873E2"/>
    <w:rsid w:val="00787D39"/>
    <w:rsid w:val="00794482"/>
    <w:rsid w:val="007A45FC"/>
    <w:rsid w:val="007B326C"/>
    <w:rsid w:val="007B3F8E"/>
    <w:rsid w:val="007B6B92"/>
    <w:rsid w:val="007C6053"/>
    <w:rsid w:val="007D184E"/>
    <w:rsid w:val="007D3A15"/>
    <w:rsid w:val="007E384C"/>
    <w:rsid w:val="007F0388"/>
    <w:rsid w:val="007F6CA4"/>
    <w:rsid w:val="00806C58"/>
    <w:rsid w:val="00812A02"/>
    <w:rsid w:val="0082133D"/>
    <w:rsid w:val="00841BFB"/>
    <w:rsid w:val="00850A43"/>
    <w:rsid w:val="00854030"/>
    <w:rsid w:val="0086405A"/>
    <w:rsid w:val="00864147"/>
    <w:rsid w:val="008666B6"/>
    <w:rsid w:val="00875528"/>
    <w:rsid w:val="00875705"/>
    <w:rsid w:val="00884829"/>
    <w:rsid w:val="008A1EEB"/>
    <w:rsid w:val="008B665C"/>
    <w:rsid w:val="008C7136"/>
    <w:rsid w:val="008D068F"/>
    <w:rsid w:val="008D7872"/>
    <w:rsid w:val="008E14F7"/>
    <w:rsid w:val="008F1DD5"/>
    <w:rsid w:val="008F45D3"/>
    <w:rsid w:val="008F7226"/>
    <w:rsid w:val="008F7661"/>
    <w:rsid w:val="008F799D"/>
    <w:rsid w:val="00911F6C"/>
    <w:rsid w:val="00924CE4"/>
    <w:rsid w:val="00934F0E"/>
    <w:rsid w:val="00942490"/>
    <w:rsid w:val="009458EE"/>
    <w:rsid w:val="0095696E"/>
    <w:rsid w:val="00960A79"/>
    <w:rsid w:val="00960B44"/>
    <w:rsid w:val="00973E92"/>
    <w:rsid w:val="009829CD"/>
    <w:rsid w:val="009856B8"/>
    <w:rsid w:val="009B6915"/>
    <w:rsid w:val="009B7DC6"/>
    <w:rsid w:val="009E1EF8"/>
    <w:rsid w:val="009F1905"/>
    <w:rsid w:val="009F554A"/>
    <w:rsid w:val="009F692C"/>
    <w:rsid w:val="009F6F3F"/>
    <w:rsid w:val="00A002DF"/>
    <w:rsid w:val="00A06ABA"/>
    <w:rsid w:val="00A07924"/>
    <w:rsid w:val="00A13980"/>
    <w:rsid w:val="00A25C10"/>
    <w:rsid w:val="00A31EC7"/>
    <w:rsid w:val="00A33918"/>
    <w:rsid w:val="00A359FD"/>
    <w:rsid w:val="00A5012C"/>
    <w:rsid w:val="00A62F0D"/>
    <w:rsid w:val="00A71ABE"/>
    <w:rsid w:val="00A760D0"/>
    <w:rsid w:val="00A90ACD"/>
    <w:rsid w:val="00A92D82"/>
    <w:rsid w:val="00A948BC"/>
    <w:rsid w:val="00A972B3"/>
    <w:rsid w:val="00AC4BE0"/>
    <w:rsid w:val="00AC4D21"/>
    <w:rsid w:val="00AD04BB"/>
    <w:rsid w:val="00AD5884"/>
    <w:rsid w:val="00AD7C63"/>
    <w:rsid w:val="00AE0787"/>
    <w:rsid w:val="00AE1FF9"/>
    <w:rsid w:val="00AE6FD9"/>
    <w:rsid w:val="00AE74BE"/>
    <w:rsid w:val="00AE79A9"/>
    <w:rsid w:val="00AF2733"/>
    <w:rsid w:val="00B0207E"/>
    <w:rsid w:val="00B0359E"/>
    <w:rsid w:val="00B12BF3"/>
    <w:rsid w:val="00B13AA5"/>
    <w:rsid w:val="00B22907"/>
    <w:rsid w:val="00B236FD"/>
    <w:rsid w:val="00B2747B"/>
    <w:rsid w:val="00B35AF2"/>
    <w:rsid w:val="00B40D6D"/>
    <w:rsid w:val="00B464C2"/>
    <w:rsid w:val="00B47449"/>
    <w:rsid w:val="00B563DA"/>
    <w:rsid w:val="00B65898"/>
    <w:rsid w:val="00BA2F77"/>
    <w:rsid w:val="00BA3BF7"/>
    <w:rsid w:val="00BA3E4B"/>
    <w:rsid w:val="00BB1B16"/>
    <w:rsid w:val="00BD622F"/>
    <w:rsid w:val="00BE1C4F"/>
    <w:rsid w:val="00BE3D82"/>
    <w:rsid w:val="00BF0EF3"/>
    <w:rsid w:val="00C03969"/>
    <w:rsid w:val="00C1449E"/>
    <w:rsid w:val="00C15DAD"/>
    <w:rsid w:val="00C250FF"/>
    <w:rsid w:val="00C25320"/>
    <w:rsid w:val="00C313E4"/>
    <w:rsid w:val="00C321C3"/>
    <w:rsid w:val="00C53394"/>
    <w:rsid w:val="00C56A2A"/>
    <w:rsid w:val="00C60EB3"/>
    <w:rsid w:val="00C61948"/>
    <w:rsid w:val="00C62093"/>
    <w:rsid w:val="00C6410A"/>
    <w:rsid w:val="00C72854"/>
    <w:rsid w:val="00C77872"/>
    <w:rsid w:val="00C81562"/>
    <w:rsid w:val="00C82476"/>
    <w:rsid w:val="00C92DB8"/>
    <w:rsid w:val="00C94A04"/>
    <w:rsid w:val="00CA7032"/>
    <w:rsid w:val="00CA70AC"/>
    <w:rsid w:val="00CA7161"/>
    <w:rsid w:val="00CC6485"/>
    <w:rsid w:val="00CE28BC"/>
    <w:rsid w:val="00CE5392"/>
    <w:rsid w:val="00CE5633"/>
    <w:rsid w:val="00D013E2"/>
    <w:rsid w:val="00D1274C"/>
    <w:rsid w:val="00D1282E"/>
    <w:rsid w:val="00D130AD"/>
    <w:rsid w:val="00D14770"/>
    <w:rsid w:val="00D220A4"/>
    <w:rsid w:val="00D26149"/>
    <w:rsid w:val="00D419F9"/>
    <w:rsid w:val="00D41CA6"/>
    <w:rsid w:val="00D46415"/>
    <w:rsid w:val="00D46CB0"/>
    <w:rsid w:val="00D47BDD"/>
    <w:rsid w:val="00D51412"/>
    <w:rsid w:val="00D57A71"/>
    <w:rsid w:val="00D61B3E"/>
    <w:rsid w:val="00D700F9"/>
    <w:rsid w:val="00DA3B4B"/>
    <w:rsid w:val="00DA6BD7"/>
    <w:rsid w:val="00DB4348"/>
    <w:rsid w:val="00DB5A04"/>
    <w:rsid w:val="00DB7631"/>
    <w:rsid w:val="00DB7AB5"/>
    <w:rsid w:val="00DC3921"/>
    <w:rsid w:val="00DC4C4A"/>
    <w:rsid w:val="00DC5C96"/>
    <w:rsid w:val="00DD2F3B"/>
    <w:rsid w:val="00DE0B2B"/>
    <w:rsid w:val="00DE2F9C"/>
    <w:rsid w:val="00DE7223"/>
    <w:rsid w:val="00DF248A"/>
    <w:rsid w:val="00DF69EB"/>
    <w:rsid w:val="00E107F8"/>
    <w:rsid w:val="00E14101"/>
    <w:rsid w:val="00E16972"/>
    <w:rsid w:val="00E30F4C"/>
    <w:rsid w:val="00E310FB"/>
    <w:rsid w:val="00E403C3"/>
    <w:rsid w:val="00E4263F"/>
    <w:rsid w:val="00E51219"/>
    <w:rsid w:val="00E54F3D"/>
    <w:rsid w:val="00E57908"/>
    <w:rsid w:val="00E60E26"/>
    <w:rsid w:val="00E63EFE"/>
    <w:rsid w:val="00E654C7"/>
    <w:rsid w:val="00E73984"/>
    <w:rsid w:val="00E7442C"/>
    <w:rsid w:val="00E75AC8"/>
    <w:rsid w:val="00E85334"/>
    <w:rsid w:val="00E926EA"/>
    <w:rsid w:val="00E938E5"/>
    <w:rsid w:val="00E96247"/>
    <w:rsid w:val="00E96543"/>
    <w:rsid w:val="00EA7A3A"/>
    <w:rsid w:val="00EB0B5D"/>
    <w:rsid w:val="00EB2BDC"/>
    <w:rsid w:val="00EC7912"/>
    <w:rsid w:val="00EC7CC3"/>
    <w:rsid w:val="00ED13B1"/>
    <w:rsid w:val="00ED25DC"/>
    <w:rsid w:val="00ED3A29"/>
    <w:rsid w:val="00ED783C"/>
    <w:rsid w:val="00EE0164"/>
    <w:rsid w:val="00EE3388"/>
    <w:rsid w:val="00EF274B"/>
    <w:rsid w:val="00F04EC8"/>
    <w:rsid w:val="00F06C38"/>
    <w:rsid w:val="00F1744C"/>
    <w:rsid w:val="00F2255F"/>
    <w:rsid w:val="00F32AF9"/>
    <w:rsid w:val="00F35A09"/>
    <w:rsid w:val="00F3640C"/>
    <w:rsid w:val="00F3695A"/>
    <w:rsid w:val="00F3795C"/>
    <w:rsid w:val="00F4462A"/>
    <w:rsid w:val="00F5420F"/>
    <w:rsid w:val="00F60A3F"/>
    <w:rsid w:val="00F6771A"/>
    <w:rsid w:val="00F85304"/>
    <w:rsid w:val="00F9300A"/>
    <w:rsid w:val="00F966AE"/>
    <w:rsid w:val="00FA511B"/>
    <w:rsid w:val="00FB2AD6"/>
    <w:rsid w:val="00FB6005"/>
    <w:rsid w:val="00FC4CD4"/>
    <w:rsid w:val="00FC6453"/>
    <w:rsid w:val="00FE1329"/>
    <w:rsid w:val="00FE1DCE"/>
    <w:rsid w:val="00FF0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qFormat/>
    <w:rsid w:val="00D220A4"/>
    <w:rPr>
      <w:sz w:val="16"/>
      <w:szCs w:val="16"/>
    </w:rPr>
  </w:style>
  <w:style w:type="paragraph" w:styleId="CommentText">
    <w:name w:val="annotation text"/>
    <w:basedOn w:val="Normal"/>
    <w:link w:val="CommentTextChar"/>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18"/>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2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11</cp:revision>
  <dcterms:created xsi:type="dcterms:W3CDTF">2022-09-28T19:31:00Z</dcterms:created>
  <dcterms:modified xsi:type="dcterms:W3CDTF">2022-09-29T13:28:00Z</dcterms:modified>
</cp:coreProperties>
</file>